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63F" w:rsidRDefault="0035563F" w:rsidP="0035563F">
      <w:pPr>
        <w:spacing w:after="0" w:line="240" w:lineRule="auto"/>
        <w:rPr>
          <w:rFonts w:ascii="Arial" w:hAnsi="Arial" w:cs="Arial"/>
          <w:sz w:val="20"/>
          <w:szCs w:val="20"/>
        </w:rPr>
      </w:pPr>
    </w:p>
    <w:p w:rsidR="0035563F" w:rsidRDefault="0035563F" w:rsidP="0035563F">
      <w:pPr>
        <w:spacing w:after="0" w:line="240" w:lineRule="auto"/>
        <w:rPr>
          <w:rFonts w:ascii="Arial" w:hAnsi="Arial" w:cs="Arial"/>
          <w:sz w:val="20"/>
          <w:szCs w:val="20"/>
        </w:rPr>
      </w:pPr>
    </w:p>
    <w:p w:rsidR="0035563F" w:rsidRDefault="0035563F" w:rsidP="0035563F">
      <w:pPr>
        <w:spacing w:after="0" w:line="240" w:lineRule="auto"/>
        <w:ind w:left="360"/>
        <w:rPr>
          <w:rFonts w:ascii="Arial" w:hAnsi="Arial" w:cs="Arial"/>
          <w:sz w:val="20"/>
          <w:szCs w:val="20"/>
        </w:rPr>
      </w:pPr>
    </w:p>
    <w:p w:rsidR="0035563F" w:rsidRDefault="0035563F" w:rsidP="0035563F">
      <w:pPr>
        <w:spacing w:after="0" w:line="240" w:lineRule="auto"/>
        <w:ind w:left="360"/>
        <w:rPr>
          <w:rFonts w:ascii="Arial" w:hAnsi="Arial" w:cs="Arial"/>
          <w:sz w:val="20"/>
          <w:szCs w:val="20"/>
        </w:rPr>
      </w:pPr>
    </w:p>
    <w:tbl>
      <w:tblPr>
        <w:tblStyle w:val="Tablaconcuadrcula"/>
        <w:tblW w:w="0" w:type="auto"/>
        <w:tblInd w:w="360" w:type="dxa"/>
        <w:tblLook w:val="04A0" w:firstRow="1" w:lastRow="0" w:firstColumn="1" w:lastColumn="0" w:noHBand="0" w:noVBand="1"/>
      </w:tblPr>
      <w:tblGrid>
        <w:gridCol w:w="4199"/>
        <w:gridCol w:w="4269"/>
      </w:tblGrid>
      <w:tr w:rsidR="0092385D" w:rsidTr="00504AFA">
        <w:tc>
          <w:tcPr>
            <w:tcW w:w="4199" w:type="dxa"/>
          </w:tcPr>
          <w:p w:rsidR="0092385D" w:rsidRDefault="0092385D" w:rsidP="0035563F">
            <w:pPr>
              <w:spacing w:after="0" w:line="240" w:lineRule="auto"/>
              <w:rPr>
                <w:rFonts w:ascii="Arial" w:hAnsi="Arial" w:cs="Arial"/>
                <w:sz w:val="20"/>
                <w:szCs w:val="20"/>
              </w:rPr>
            </w:pPr>
            <w:r w:rsidRPr="001C5CE6">
              <w:rPr>
                <w:rFonts w:ascii="Arial" w:hAnsi="Arial" w:cs="Arial"/>
                <w:sz w:val="24"/>
                <w:szCs w:val="24"/>
              </w:rPr>
              <w:t>Ley 9 del 79</w:t>
            </w:r>
          </w:p>
        </w:tc>
        <w:tc>
          <w:tcPr>
            <w:tcW w:w="4269" w:type="dxa"/>
          </w:tcPr>
          <w:p w:rsidR="0092385D" w:rsidRDefault="0092385D" w:rsidP="0035563F">
            <w:pPr>
              <w:spacing w:after="0" w:line="240" w:lineRule="auto"/>
              <w:rPr>
                <w:rFonts w:ascii="Arial" w:hAnsi="Arial" w:cs="Arial"/>
                <w:sz w:val="20"/>
                <w:szCs w:val="20"/>
              </w:rPr>
            </w:pPr>
            <w:r>
              <w:rPr>
                <w:rFonts w:ascii="Arial" w:hAnsi="Arial" w:cs="Arial"/>
                <w:sz w:val="24"/>
                <w:szCs w:val="24"/>
              </w:rPr>
              <w:t>De la protección del medio ambiente.</w:t>
            </w:r>
            <w:r w:rsidRPr="00815ECA">
              <w:t xml:space="preserve"> </w:t>
            </w:r>
            <w:r w:rsidRPr="00815ECA">
              <w:rPr>
                <w:rFonts w:ascii="Arial" w:hAnsi="Arial" w:cs="Arial"/>
                <w:sz w:val="24"/>
                <w:szCs w:val="24"/>
              </w:rPr>
              <w:t>Por la cual se dictan Medidas Sanitarias</w:t>
            </w:r>
          </w:p>
        </w:tc>
      </w:tr>
      <w:tr w:rsidR="0092385D" w:rsidTr="00504AFA">
        <w:tc>
          <w:tcPr>
            <w:tcW w:w="4199" w:type="dxa"/>
          </w:tcPr>
          <w:p w:rsidR="0092385D" w:rsidRDefault="0092385D" w:rsidP="0035563F">
            <w:pPr>
              <w:spacing w:after="0" w:line="240" w:lineRule="auto"/>
              <w:rPr>
                <w:rFonts w:ascii="Arial" w:hAnsi="Arial" w:cs="Arial"/>
                <w:sz w:val="20"/>
                <w:szCs w:val="20"/>
              </w:rPr>
            </w:pPr>
            <w:r w:rsidRPr="001C5CE6">
              <w:rPr>
                <w:rFonts w:ascii="Arial" w:hAnsi="Arial" w:cs="Arial"/>
                <w:sz w:val="24"/>
                <w:szCs w:val="24"/>
              </w:rPr>
              <w:t>Ley 1562 de 2012</w:t>
            </w:r>
          </w:p>
        </w:tc>
        <w:tc>
          <w:tcPr>
            <w:tcW w:w="4269" w:type="dxa"/>
          </w:tcPr>
          <w:p w:rsidR="0092385D" w:rsidRDefault="00463D05" w:rsidP="0035563F">
            <w:pPr>
              <w:spacing w:after="0" w:line="240" w:lineRule="auto"/>
              <w:rPr>
                <w:rFonts w:ascii="Arial" w:hAnsi="Arial" w:cs="Arial"/>
                <w:sz w:val="20"/>
                <w:szCs w:val="20"/>
              </w:rPr>
            </w:pPr>
            <w:r w:rsidRPr="0092385D">
              <w:rPr>
                <w:rStyle w:val="nfasis"/>
                <w:rFonts w:ascii="Arial" w:hAnsi="Arial" w:cs="Arial"/>
                <w:i w:val="0"/>
                <w:color w:val="333333"/>
                <w:sz w:val="24"/>
                <w:szCs w:val="24"/>
                <w:shd w:val="clear" w:color="auto" w:fill="FFFFFF"/>
              </w:rPr>
              <w:t>Por la cual se modifica el Sistema de Riesgos Laborales y se dictan otras disposiciones en materia de Salud Ocupacional</w:t>
            </w:r>
          </w:p>
        </w:tc>
      </w:tr>
      <w:tr w:rsidR="0092385D" w:rsidTr="00504AFA">
        <w:tc>
          <w:tcPr>
            <w:tcW w:w="4199" w:type="dxa"/>
          </w:tcPr>
          <w:p w:rsidR="0092385D" w:rsidRDefault="00463D05" w:rsidP="0035563F">
            <w:pPr>
              <w:spacing w:after="0" w:line="240" w:lineRule="auto"/>
              <w:rPr>
                <w:rFonts w:ascii="Arial" w:hAnsi="Arial" w:cs="Arial"/>
                <w:sz w:val="20"/>
                <w:szCs w:val="20"/>
              </w:rPr>
            </w:pPr>
            <w:r w:rsidRPr="001C5CE6">
              <w:rPr>
                <w:rFonts w:ascii="Arial" w:hAnsi="Arial" w:cs="Arial"/>
                <w:sz w:val="24"/>
                <w:szCs w:val="24"/>
              </w:rPr>
              <w:t>Decreto ley 1295 de 1994</w:t>
            </w:r>
          </w:p>
        </w:tc>
        <w:tc>
          <w:tcPr>
            <w:tcW w:w="4269" w:type="dxa"/>
          </w:tcPr>
          <w:p w:rsidR="0092385D" w:rsidRDefault="00463D05" w:rsidP="00463D05">
            <w:pPr>
              <w:spacing w:after="0" w:line="240" w:lineRule="auto"/>
              <w:jc w:val="both"/>
              <w:rPr>
                <w:rFonts w:ascii="Arial" w:hAnsi="Arial" w:cs="Arial"/>
                <w:sz w:val="20"/>
                <w:szCs w:val="20"/>
              </w:rPr>
            </w:pPr>
            <w:r>
              <w:rPr>
                <w:rFonts w:ascii="Arial" w:hAnsi="Arial" w:cs="Arial"/>
                <w:sz w:val="24"/>
                <w:szCs w:val="24"/>
              </w:rPr>
              <w:t>Señala que son afiliados obligatorios  al Sistema General de Riesgos Laborales “ Las personas vinculadas a través de  un contrato formal  de prestación de servicios  con entidades o instituciones públicas o privadas , tales como contratos civiles, comerciales o administrativos , con una duración superior a un mes  y con precisión de la situaciones de tiempo, modo y lugar  en que  se realiza dicha  prestación.</w:t>
            </w:r>
          </w:p>
        </w:tc>
      </w:tr>
      <w:tr w:rsidR="0092385D" w:rsidTr="00504AFA">
        <w:tc>
          <w:tcPr>
            <w:tcW w:w="4199" w:type="dxa"/>
          </w:tcPr>
          <w:p w:rsidR="0092385D" w:rsidRDefault="00463D05" w:rsidP="0035563F">
            <w:pPr>
              <w:spacing w:after="0" w:line="240" w:lineRule="auto"/>
              <w:rPr>
                <w:rFonts w:ascii="Arial" w:hAnsi="Arial" w:cs="Arial"/>
                <w:sz w:val="20"/>
                <w:szCs w:val="20"/>
              </w:rPr>
            </w:pPr>
            <w:r w:rsidRPr="001C5CE6">
              <w:rPr>
                <w:rFonts w:ascii="Arial" w:hAnsi="Arial" w:cs="Arial"/>
                <w:sz w:val="24"/>
                <w:szCs w:val="24"/>
              </w:rPr>
              <w:t>Ley 100 de 1993</w:t>
            </w:r>
          </w:p>
        </w:tc>
        <w:tc>
          <w:tcPr>
            <w:tcW w:w="4269" w:type="dxa"/>
          </w:tcPr>
          <w:p w:rsidR="0092385D" w:rsidRDefault="00463D05" w:rsidP="00463D05">
            <w:pPr>
              <w:spacing w:after="0" w:line="240" w:lineRule="auto"/>
              <w:jc w:val="both"/>
              <w:rPr>
                <w:rFonts w:ascii="Arial" w:hAnsi="Arial" w:cs="Arial"/>
                <w:sz w:val="20"/>
                <w:szCs w:val="20"/>
              </w:rPr>
            </w:pPr>
            <w:r w:rsidRPr="00463D05">
              <w:rPr>
                <w:rFonts w:ascii="Arial" w:hAnsi="Arial" w:cs="Arial"/>
                <w:sz w:val="24"/>
                <w:szCs w:val="24"/>
              </w:rPr>
              <w:t xml:space="preserve">Por la cual se crea el sistema de seguridad social integral y se dictan otras disposiciones. </w:t>
            </w:r>
            <w:r w:rsidRPr="00463D05">
              <w:rPr>
                <w:rFonts w:ascii="Arial" w:hAnsi="Arial" w:cs="Arial"/>
                <w:sz w:val="24"/>
                <w:szCs w:val="24"/>
                <w:shd w:val="clear" w:color="auto" w:fill="FFFFFF"/>
              </w:rPr>
              <w:t>El</w:t>
            </w:r>
            <w:r w:rsidRPr="00463D05">
              <w:rPr>
                <w:rStyle w:val="apple-converted-space"/>
                <w:rFonts w:ascii="Arial" w:hAnsi="Arial" w:cs="Arial"/>
                <w:sz w:val="24"/>
                <w:szCs w:val="24"/>
                <w:shd w:val="clear" w:color="auto" w:fill="FFFFFF"/>
              </w:rPr>
              <w:t> </w:t>
            </w:r>
            <w:r w:rsidRPr="00463D05">
              <w:rPr>
                <w:rFonts w:ascii="Arial" w:hAnsi="Arial" w:cs="Arial"/>
                <w:bCs/>
                <w:sz w:val="24"/>
                <w:szCs w:val="24"/>
                <w:shd w:val="clear" w:color="auto" w:fill="FFFFFF"/>
              </w:rPr>
              <w:t>Sistema de Seguridad Social Integral</w:t>
            </w:r>
            <w:r w:rsidRPr="00463D05">
              <w:rPr>
                <w:rStyle w:val="apple-converted-space"/>
                <w:rFonts w:ascii="Arial" w:hAnsi="Arial" w:cs="Arial"/>
                <w:sz w:val="24"/>
                <w:szCs w:val="24"/>
                <w:shd w:val="clear" w:color="auto" w:fill="FFFFFF"/>
              </w:rPr>
              <w:t> </w:t>
            </w:r>
            <w:r w:rsidRPr="00463D05">
              <w:rPr>
                <w:rFonts w:ascii="Arial" w:hAnsi="Arial" w:cs="Arial"/>
                <w:sz w:val="24"/>
                <w:szCs w:val="24"/>
                <w:shd w:val="clear" w:color="auto" w:fill="FFFFFF"/>
              </w:rPr>
              <w:t>vigente en</w:t>
            </w:r>
            <w:r w:rsidRPr="00463D05">
              <w:rPr>
                <w:rStyle w:val="apple-converted-space"/>
                <w:rFonts w:ascii="Arial" w:hAnsi="Arial" w:cs="Arial"/>
                <w:sz w:val="24"/>
                <w:szCs w:val="24"/>
                <w:shd w:val="clear" w:color="auto" w:fill="FFFFFF"/>
              </w:rPr>
              <w:t> </w:t>
            </w:r>
            <w:hyperlink r:id="rId7" w:tooltip="Colombia" w:history="1">
              <w:r w:rsidRPr="00463D05">
                <w:rPr>
                  <w:rStyle w:val="Hipervnculo"/>
                  <w:rFonts w:ascii="Arial" w:hAnsi="Arial" w:cs="Arial"/>
                  <w:color w:val="auto"/>
                  <w:sz w:val="24"/>
                  <w:szCs w:val="24"/>
                  <w:u w:val="none"/>
                  <w:shd w:val="clear" w:color="auto" w:fill="FFFFFF"/>
                </w:rPr>
                <w:t>Colombia</w:t>
              </w:r>
            </w:hyperlink>
            <w:r w:rsidRPr="00463D05">
              <w:rPr>
                <w:rFonts w:ascii="Arial" w:hAnsi="Arial" w:cs="Arial"/>
                <w:sz w:val="24"/>
                <w:szCs w:val="24"/>
                <w:shd w:val="clear" w:color="auto" w:fill="FFFFFF"/>
              </w:rPr>
              <w:t>, fue instituido por la</w:t>
            </w:r>
            <w:r w:rsidRPr="00463D05">
              <w:rPr>
                <w:rStyle w:val="apple-converted-space"/>
                <w:rFonts w:ascii="Arial" w:hAnsi="Arial" w:cs="Arial"/>
                <w:sz w:val="24"/>
                <w:szCs w:val="24"/>
                <w:shd w:val="clear" w:color="auto" w:fill="FFFFFF"/>
              </w:rPr>
              <w:t> </w:t>
            </w:r>
            <w:r w:rsidRPr="00463D05">
              <w:rPr>
                <w:rFonts w:ascii="Arial" w:hAnsi="Arial" w:cs="Arial"/>
                <w:bCs/>
                <w:sz w:val="24"/>
                <w:szCs w:val="24"/>
                <w:shd w:val="clear" w:color="auto" w:fill="FFFFFF"/>
              </w:rPr>
              <w:t>Ley 100 de 1993</w:t>
            </w:r>
            <w:r w:rsidRPr="00463D05">
              <w:rPr>
                <w:rStyle w:val="apple-converted-space"/>
                <w:rFonts w:ascii="Arial" w:hAnsi="Arial" w:cs="Arial"/>
                <w:sz w:val="24"/>
                <w:szCs w:val="24"/>
                <w:shd w:val="clear" w:color="auto" w:fill="FFFFFF"/>
              </w:rPr>
              <w:t> </w:t>
            </w:r>
            <w:r w:rsidRPr="00463D05">
              <w:rPr>
                <w:rFonts w:ascii="Arial" w:hAnsi="Arial" w:cs="Arial"/>
                <w:sz w:val="24"/>
                <w:szCs w:val="24"/>
                <w:shd w:val="clear" w:color="auto" w:fill="FFFFFF"/>
              </w:rPr>
              <w:t>y reúne de manera coordinada un conjunto de entidades, normas y procedimientos a los cuales podrán tener acceso las personas y la comunidad con el fin principal de garantizar una calidad de vida que esté acorde con la</w:t>
            </w:r>
            <w:r w:rsidRPr="00463D05">
              <w:rPr>
                <w:rStyle w:val="apple-converted-space"/>
                <w:rFonts w:ascii="Arial" w:hAnsi="Arial" w:cs="Arial"/>
                <w:sz w:val="24"/>
                <w:szCs w:val="24"/>
                <w:shd w:val="clear" w:color="auto" w:fill="FFFFFF"/>
              </w:rPr>
              <w:t> </w:t>
            </w:r>
            <w:hyperlink r:id="rId8" w:tooltip="Dignidad humana" w:history="1">
              <w:r w:rsidRPr="00463D05">
                <w:rPr>
                  <w:rStyle w:val="Hipervnculo"/>
                  <w:rFonts w:ascii="Arial" w:hAnsi="Arial" w:cs="Arial"/>
                  <w:color w:val="auto"/>
                  <w:sz w:val="24"/>
                  <w:szCs w:val="24"/>
                  <w:u w:val="none"/>
                  <w:shd w:val="clear" w:color="auto" w:fill="FFFFFF"/>
                </w:rPr>
                <w:t>dignidad humana</w:t>
              </w:r>
            </w:hyperlink>
          </w:p>
        </w:tc>
      </w:tr>
      <w:tr w:rsidR="0092385D" w:rsidTr="00504AFA">
        <w:tc>
          <w:tcPr>
            <w:tcW w:w="4199" w:type="dxa"/>
          </w:tcPr>
          <w:p w:rsidR="0092385D" w:rsidRDefault="00463D05" w:rsidP="0035563F">
            <w:pPr>
              <w:spacing w:after="0" w:line="240" w:lineRule="auto"/>
              <w:rPr>
                <w:rFonts w:ascii="Arial" w:hAnsi="Arial" w:cs="Arial"/>
                <w:sz w:val="20"/>
                <w:szCs w:val="20"/>
              </w:rPr>
            </w:pPr>
            <w:r w:rsidRPr="001C5CE6">
              <w:rPr>
                <w:rFonts w:ascii="Arial" w:hAnsi="Arial" w:cs="Arial"/>
                <w:sz w:val="24"/>
                <w:szCs w:val="24"/>
              </w:rPr>
              <w:t>Resolución 2013 de 1986</w:t>
            </w:r>
          </w:p>
        </w:tc>
        <w:tc>
          <w:tcPr>
            <w:tcW w:w="4269" w:type="dxa"/>
          </w:tcPr>
          <w:p w:rsidR="0092385D" w:rsidRDefault="00463D05" w:rsidP="00463D05">
            <w:pPr>
              <w:spacing w:after="0" w:line="240" w:lineRule="auto"/>
              <w:jc w:val="both"/>
              <w:rPr>
                <w:rFonts w:ascii="Arial" w:hAnsi="Arial" w:cs="Arial"/>
                <w:sz w:val="20"/>
                <w:szCs w:val="20"/>
              </w:rPr>
            </w:pPr>
            <w:r>
              <w:rPr>
                <w:rFonts w:ascii="Arial" w:hAnsi="Arial" w:cs="Arial"/>
                <w:color w:val="000000"/>
              </w:rPr>
              <w:t xml:space="preserve">La resolución 2013 de 1986 resuelve que todas las empresas e instituciones públicas o privadas que tengan a su </w:t>
            </w:r>
            <w:r>
              <w:rPr>
                <w:rFonts w:ascii="Arial" w:hAnsi="Arial" w:cs="Arial"/>
                <w:color w:val="000000"/>
              </w:rPr>
              <w:lastRenderedPageBreak/>
              <w:t>servicio 10 o más trabajadores, están obligadas a conformar un Comité Paritario de Salud Ocupacional (COPASST).  El artículo 35 del Decreto 1295 de 1994 establece para empresas de menos de 10 trabajadores, la obligación de nombrar un Vigía Ocupacional.</w:t>
            </w:r>
          </w:p>
        </w:tc>
      </w:tr>
      <w:tr w:rsidR="0092385D" w:rsidTr="00504AFA">
        <w:tc>
          <w:tcPr>
            <w:tcW w:w="4199" w:type="dxa"/>
          </w:tcPr>
          <w:p w:rsidR="0092385D" w:rsidRDefault="00463D05" w:rsidP="0035563F">
            <w:pPr>
              <w:spacing w:after="0" w:line="240" w:lineRule="auto"/>
              <w:rPr>
                <w:rFonts w:ascii="Arial" w:hAnsi="Arial" w:cs="Arial"/>
                <w:sz w:val="20"/>
                <w:szCs w:val="20"/>
              </w:rPr>
            </w:pPr>
            <w:r w:rsidRPr="001C5CE6">
              <w:rPr>
                <w:rFonts w:ascii="Arial" w:hAnsi="Arial" w:cs="Arial"/>
                <w:sz w:val="24"/>
                <w:szCs w:val="24"/>
              </w:rPr>
              <w:lastRenderedPageBreak/>
              <w:t>Resolución 652 de 2012</w:t>
            </w:r>
          </w:p>
        </w:tc>
        <w:tc>
          <w:tcPr>
            <w:tcW w:w="4269" w:type="dxa"/>
          </w:tcPr>
          <w:p w:rsidR="00463D05" w:rsidRPr="00463D05" w:rsidRDefault="00463D05" w:rsidP="00C9294C">
            <w:pPr>
              <w:spacing w:after="0" w:line="240" w:lineRule="auto"/>
              <w:ind w:left="360"/>
              <w:jc w:val="both"/>
              <w:rPr>
                <w:rFonts w:ascii="Arial" w:hAnsi="Arial" w:cs="Arial"/>
                <w:sz w:val="24"/>
                <w:szCs w:val="24"/>
              </w:rPr>
            </w:pPr>
            <w:r w:rsidRPr="00463D05">
              <w:rPr>
                <w:rFonts w:ascii="Arial" w:hAnsi="Arial" w:cs="Arial"/>
                <w:color w:val="000000"/>
                <w:sz w:val="24"/>
                <w:szCs w:val="24"/>
                <w:shd w:val="clear" w:color="auto" w:fill="FFFFFF"/>
              </w:rPr>
              <w:t>Dando alcance a la formalización del comité de convivencia definido en la Ley 1010 de 2006 que "adopta medidas para prevenir, corregir y sancionar el acoso laboral y otros hostigamientos en el marco de las relaciones de trabajo", la resolución 000652 define que la conformación debe ser paritaria dependiendo del número</w:t>
            </w:r>
            <w:r w:rsidRPr="00463D05">
              <w:rPr>
                <w:rStyle w:val="apple-converted-space"/>
                <w:rFonts w:ascii="Arial" w:hAnsi="Arial" w:cs="Arial"/>
                <w:color w:val="000000"/>
                <w:sz w:val="24"/>
                <w:szCs w:val="24"/>
                <w:shd w:val="clear" w:color="auto" w:fill="FFFFFF"/>
              </w:rPr>
              <w:t> </w:t>
            </w:r>
            <w:r w:rsidRPr="00463D05">
              <w:rPr>
                <w:rFonts w:ascii="Arial" w:hAnsi="Arial" w:cs="Arial"/>
                <w:color w:val="000000"/>
                <w:sz w:val="24"/>
                <w:szCs w:val="24"/>
                <w:shd w:val="clear" w:color="auto" w:fill="FFFFFF"/>
              </w:rPr>
              <w:t>de trabajadores</w:t>
            </w:r>
            <w:r w:rsidRPr="00463D05">
              <w:rPr>
                <w:rStyle w:val="apple-converted-space"/>
                <w:rFonts w:ascii="Arial" w:hAnsi="Arial" w:cs="Arial"/>
                <w:color w:val="000000"/>
                <w:sz w:val="24"/>
                <w:szCs w:val="24"/>
                <w:shd w:val="clear" w:color="auto" w:fill="FFFFFF"/>
              </w:rPr>
              <w:t> </w:t>
            </w:r>
            <w:r w:rsidRPr="00463D05">
              <w:rPr>
                <w:rFonts w:ascii="Arial" w:hAnsi="Arial" w:cs="Arial"/>
                <w:color w:val="000000"/>
                <w:sz w:val="24"/>
                <w:szCs w:val="24"/>
                <w:shd w:val="clear" w:color="auto" w:fill="FFFFFF"/>
              </w:rPr>
              <w:t>de la empresa y que debe conformarse en cada centro de trabajo cuando la empresa tiene más de 10 trabajadores, así mismo informa cuales son las funciones del comité, de su presidente y del secretario. El comité debe reunirse una vez al mes o cuando sea requerido por una solicitud. La resolución define las responsabilidades del empleador y de la ARP ante el desarrollo de las medidas preventivas y correctivas de acoso laboral. Las empresas tienen tres meses de plazo para dar alcance a esta resolución, la conformación y el funcionamiento son iguales a los del COPASO  pero sus funciones son diferentes.</w:t>
            </w:r>
          </w:p>
          <w:p w:rsidR="0092385D" w:rsidRDefault="0092385D" w:rsidP="00C9294C">
            <w:pPr>
              <w:spacing w:after="0" w:line="240" w:lineRule="auto"/>
              <w:jc w:val="both"/>
              <w:rPr>
                <w:rFonts w:ascii="Arial" w:hAnsi="Arial" w:cs="Arial"/>
                <w:sz w:val="20"/>
                <w:szCs w:val="20"/>
              </w:rPr>
            </w:pPr>
          </w:p>
        </w:tc>
      </w:tr>
      <w:tr w:rsidR="0092385D" w:rsidTr="00504AFA">
        <w:tc>
          <w:tcPr>
            <w:tcW w:w="4199" w:type="dxa"/>
          </w:tcPr>
          <w:p w:rsidR="00463D05" w:rsidRPr="00463D05" w:rsidRDefault="00463D05" w:rsidP="00463D05">
            <w:pPr>
              <w:spacing w:after="0" w:line="240" w:lineRule="auto"/>
              <w:ind w:left="360"/>
              <w:rPr>
                <w:rFonts w:ascii="Arial" w:hAnsi="Arial" w:cs="Arial"/>
                <w:sz w:val="24"/>
                <w:szCs w:val="24"/>
              </w:rPr>
            </w:pPr>
          </w:p>
          <w:p w:rsidR="0092385D" w:rsidRDefault="00463D05" w:rsidP="00463D05">
            <w:pPr>
              <w:spacing w:after="0" w:line="240" w:lineRule="auto"/>
              <w:rPr>
                <w:rFonts w:ascii="Arial" w:hAnsi="Arial" w:cs="Arial"/>
                <w:sz w:val="20"/>
                <w:szCs w:val="20"/>
              </w:rPr>
            </w:pPr>
            <w:r w:rsidRPr="001C5CE6">
              <w:rPr>
                <w:rFonts w:ascii="Arial" w:hAnsi="Arial" w:cs="Arial"/>
                <w:sz w:val="24"/>
                <w:szCs w:val="24"/>
              </w:rPr>
              <w:t>Ley 1010 de 2006</w:t>
            </w:r>
          </w:p>
        </w:tc>
        <w:tc>
          <w:tcPr>
            <w:tcW w:w="4269" w:type="dxa"/>
          </w:tcPr>
          <w:p w:rsidR="00463D05" w:rsidRPr="00463D05" w:rsidRDefault="00463D05" w:rsidP="00C9294C">
            <w:pPr>
              <w:spacing w:after="0" w:line="240" w:lineRule="auto"/>
              <w:ind w:left="360"/>
              <w:jc w:val="both"/>
              <w:rPr>
                <w:rFonts w:ascii="Arial" w:hAnsi="Arial" w:cs="Arial"/>
                <w:sz w:val="24"/>
                <w:szCs w:val="24"/>
              </w:rPr>
            </w:pPr>
            <w:r w:rsidRPr="00463D05">
              <w:rPr>
                <w:rFonts w:ascii="Arial" w:hAnsi="Arial" w:cs="Arial"/>
                <w:color w:val="4B4949"/>
                <w:sz w:val="24"/>
                <w:szCs w:val="24"/>
              </w:rPr>
              <w:t>Por medio de la cual se adoptan medidas para prevenir, corregir y sancionar el acoso laboral y otros hostigamientos en el marco de las relaciones de trabajo</w:t>
            </w:r>
          </w:p>
          <w:p w:rsidR="0092385D" w:rsidRDefault="0092385D" w:rsidP="00C9294C">
            <w:pPr>
              <w:spacing w:after="0" w:line="240" w:lineRule="auto"/>
              <w:jc w:val="both"/>
              <w:rPr>
                <w:rFonts w:ascii="Arial" w:hAnsi="Arial" w:cs="Arial"/>
                <w:sz w:val="20"/>
                <w:szCs w:val="20"/>
              </w:rPr>
            </w:pPr>
          </w:p>
        </w:tc>
      </w:tr>
      <w:tr w:rsidR="0092385D" w:rsidTr="00504AFA">
        <w:tc>
          <w:tcPr>
            <w:tcW w:w="4199" w:type="dxa"/>
          </w:tcPr>
          <w:p w:rsidR="0092385D" w:rsidRDefault="00463D05" w:rsidP="0035563F">
            <w:pPr>
              <w:spacing w:after="0" w:line="240" w:lineRule="auto"/>
              <w:rPr>
                <w:rFonts w:ascii="Arial" w:hAnsi="Arial" w:cs="Arial"/>
                <w:sz w:val="20"/>
                <w:szCs w:val="20"/>
              </w:rPr>
            </w:pPr>
            <w:r w:rsidRPr="001C5CE6">
              <w:rPr>
                <w:rFonts w:ascii="Arial" w:hAnsi="Arial" w:cs="Arial"/>
                <w:sz w:val="24"/>
                <w:szCs w:val="24"/>
              </w:rPr>
              <w:t>Guía para la identificación de los peligros y la valoración de los riesgos en seguridad y salud ocupacional GTC 45</w:t>
            </w:r>
          </w:p>
        </w:tc>
        <w:tc>
          <w:tcPr>
            <w:tcW w:w="4269" w:type="dxa"/>
          </w:tcPr>
          <w:p w:rsidR="00463D05" w:rsidRPr="00463D05" w:rsidRDefault="00463D05" w:rsidP="00463D05">
            <w:pPr>
              <w:spacing w:after="0" w:line="240" w:lineRule="auto"/>
              <w:jc w:val="both"/>
              <w:rPr>
                <w:rFonts w:ascii="Arial" w:hAnsi="Arial" w:cs="Arial"/>
                <w:sz w:val="24"/>
                <w:szCs w:val="24"/>
              </w:rPr>
            </w:pPr>
            <w:r w:rsidRPr="00463D05">
              <w:rPr>
                <w:rFonts w:ascii="Arial" w:hAnsi="Arial" w:cs="Arial"/>
                <w:sz w:val="24"/>
                <w:szCs w:val="24"/>
                <w:shd w:val="clear" w:color="auto" w:fill="FFFFFF"/>
              </w:rPr>
              <w:t>Proporciona directrices para identificar los peligros y valorar los riesgos en seguridad y salud ocupacional</w:t>
            </w:r>
          </w:p>
          <w:p w:rsidR="0092385D" w:rsidRDefault="0092385D" w:rsidP="00463D05">
            <w:pPr>
              <w:spacing w:after="0" w:line="240" w:lineRule="auto"/>
              <w:jc w:val="both"/>
              <w:rPr>
                <w:rFonts w:ascii="Arial" w:hAnsi="Arial" w:cs="Arial"/>
                <w:sz w:val="20"/>
                <w:szCs w:val="20"/>
              </w:rPr>
            </w:pPr>
          </w:p>
        </w:tc>
      </w:tr>
      <w:tr w:rsidR="0092385D" w:rsidTr="00504AFA">
        <w:tc>
          <w:tcPr>
            <w:tcW w:w="4199" w:type="dxa"/>
          </w:tcPr>
          <w:p w:rsidR="0092385D" w:rsidRDefault="00C9294C" w:rsidP="0035563F">
            <w:pPr>
              <w:spacing w:after="0" w:line="240" w:lineRule="auto"/>
              <w:rPr>
                <w:rFonts w:ascii="Arial" w:hAnsi="Arial" w:cs="Arial"/>
                <w:sz w:val="20"/>
                <w:szCs w:val="20"/>
              </w:rPr>
            </w:pPr>
            <w:r w:rsidRPr="001C5CE6">
              <w:rPr>
                <w:rFonts w:ascii="Arial" w:hAnsi="Arial" w:cs="Arial"/>
                <w:sz w:val="24"/>
                <w:szCs w:val="24"/>
              </w:rPr>
              <w:t>Resolución 2400 del 79</w:t>
            </w:r>
          </w:p>
        </w:tc>
        <w:tc>
          <w:tcPr>
            <w:tcW w:w="4269" w:type="dxa"/>
          </w:tcPr>
          <w:p w:rsidR="0092385D" w:rsidRDefault="00C9294C" w:rsidP="0035563F">
            <w:pPr>
              <w:spacing w:after="0" w:line="240" w:lineRule="auto"/>
              <w:rPr>
                <w:rFonts w:ascii="Arial" w:hAnsi="Arial" w:cs="Arial"/>
                <w:sz w:val="20"/>
                <w:szCs w:val="20"/>
              </w:rPr>
            </w:pPr>
            <w:r>
              <w:rPr>
                <w:rFonts w:ascii="Arial" w:hAnsi="Arial" w:cs="Arial"/>
                <w:sz w:val="24"/>
                <w:szCs w:val="24"/>
              </w:rPr>
              <w:t>Por la cual se establecen algunas disposiciones sobre vivienda, higiene y seguridad en los establecimientos de trabajo.</w:t>
            </w:r>
          </w:p>
        </w:tc>
      </w:tr>
      <w:tr w:rsidR="0092385D" w:rsidTr="00504AFA">
        <w:tc>
          <w:tcPr>
            <w:tcW w:w="4199" w:type="dxa"/>
          </w:tcPr>
          <w:p w:rsidR="00C9294C" w:rsidRPr="001C5CE6" w:rsidRDefault="00C9294C" w:rsidP="00C9294C">
            <w:pPr>
              <w:spacing w:after="0" w:line="240" w:lineRule="auto"/>
              <w:rPr>
                <w:rFonts w:ascii="Arial" w:hAnsi="Arial" w:cs="Arial"/>
                <w:sz w:val="24"/>
                <w:szCs w:val="24"/>
              </w:rPr>
            </w:pPr>
            <w:r w:rsidRPr="001C5CE6">
              <w:rPr>
                <w:rFonts w:ascii="Arial" w:hAnsi="Arial" w:cs="Arial"/>
                <w:sz w:val="24"/>
                <w:szCs w:val="24"/>
              </w:rPr>
              <w:t>Resolución 1401 del 2007</w:t>
            </w:r>
          </w:p>
          <w:p w:rsidR="0092385D" w:rsidRDefault="0092385D" w:rsidP="0035563F">
            <w:pPr>
              <w:spacing w:after="0" w:line="240" w:lineRule="auto"/>
              <w:rPr>
                <w:rFonts w:ascii="Arial" w:hAnsi="Arial" w:cs="Arial"/>
                <w:sz w:val="20"/>
                <w:szCs w:val="20"/>
              </w:rPr>
            </w:pPr>
          </w:p>
        </w:tc>
        <w:tc>
          <w:tcPr>
            <w:tcW w:w="4269" w:type="dxa"/>
          </w:tcPr>
          <w:p w:rsidR="005A047C" w:rsidRPr="005A047C" w:rsidRDefault="005A047C" w:rsidP="005A047C">
            <w:pPr>
              <w:spacing w:after="0" w:line="240" w:lineRule="auto"/>
              <w:rPr>
                <w:rFonts w:ascii="Arial" w:hAnsi="Arial" w:cs="Arial"/>
                <w:sz w:val="24"/>
                <w:szCs w:val="24"/>
              </w:rPr>
            </w:pPr>
            <w:r w:rsidRPr="005A047C">
              <w:rPr>
                <w:rFonts w:ascii="Arial" w:hAnsi="Arial" w:cs="Arial"/>
                <w:sz w:val="24"/>
                <w:szCs w:val="24"/>
              </w:rPr>
              <w:t>Por la cual se reglamenta la investigación de incidentes y accidentes de</w:t>
            </w:r>
          </w:p>
          <w:p w:rsidR="0092385D" w:rsidRDefault="000C7B6F" w:rsidP="005A047C">
            <w:pPr>
              <w:spacing w:after="0" w:line="240" w:lineRule="auto"/>
              <w:rPr>
                <w:rFonts w:ascii="Arial" w:hAnsi="Arial" w:cs="Arial"/>
                <w:sz w:val="20"/>
                <w:szCs w:val="20"/>
              </w:rPr>
            </w:pPr>
            <w:r>
              <w:rPr>
                <w:rFonts w:ascii="Arial" w:hAnsi="Arial" w:cs="Arial"/>
                <w:sz w:val="24"/>
                <w:szCs w:val="24"/>
              </w:rPr>
              <w:t>Trabajo</w:t>
            </w:r>
            <w:r w:rsidR="005A047C" w:rsidRPr="005A047C">
              <w:rPr>
                <w:rFonts w:ascii="Arial" w:hAnsi="Arial" w:cs="Arial"/>
                <w:sz w:val="24"/>
                <w:szCs w:val="24"/>
              </w:rPr>
              <w:t>.</w:t>
            </w:r>
          </w:p>
        </w:tc>
      </w:tr>
      <w:tr w:rsidR="0092385D" w:rsidTr="00504AFA">
        <w:tc>
          <w:tcPr>
            <w:tcW w:w="4199" w:type="dxa"/>
          </w:tcPr>
          <w:p w:rsidR="0092385D" w:rsidRDefault="00C9294C" w:rsidP="0035563F">
            <w:pPr>
              <w:spacing w:after="0" w:line="240" w:lineRule="auto"/>
              <w:rPr>
                <w:rFonts w:ascii="Arial" w:hAnsi="Arial" w:cs="Arial"/>
                <w:sz w:val="20"/>
                <w:szCs w:val="20"/>
              </w:rPr>
            </w:pPr>
            <w:r w:rsidRPr="001C5CE6">
              <w:rPr>
                <w:rFonts w:ascii="Arial" w:hAnsi="Arial" w:cs="Arial"/>
                <w:sz w:val="24"/>
                <w:szCs w:val="24"/>
              </w:rPr>
              <w:t>NTC 3701 DEL 1995</w:t>
            </w:r>
          </w:p>
        </w:tc>
        <w:tc>
          <w:tcPr>
            <w:tcW w:w="4269" w:type="dxa"/>
          </w:tcPr>
          <w:p w:rsidR="0092385D" w:rsidRPr="000C7B6F" w:rsidRDefault="005A047C" w:rsidP="005A047C">
            <w:pPr>
              <w:shd w:val="clear" w:color="auto" w:fill="FFFFFF"/>
              <w:spacing w:after="315" w:line="270" w:lineRule="atLeast"/>
              <w:outlineLvl w:val="0"/>
              <w:rPr>
                <w:rFonts w:ascii="Arial" w:eastAsia="Times New Roman" w:hAnsi="Arial" w:cs="Arial"/>
                <w:bCs/>
                <w:color w:val="333333"/>
                <w:kern w:val="36"/>
                <w:sz w:val="24"/>
                <w:szCs w:val="24"/>
                <w:lang w:val="es-CO" w:eastAsia="es-CO"/>
              </w:rPr>
            </w:pPr>
            <w:r w:rsidRPr="000C7B6F">
              <w:rPr>
                <w:rFonts w:ascii="Arial" w:eastAsia="Times New Roman" w:hAnsi="Arial" w:cs="Arial"/>
                <w:bCs/>
                <w:kern w:val="36"/>
                <w:sz w:val="24"/>
                <w:szCs w:val="24"/>
                <w:lang w:val="es-CO" w:eastAsia="es-CO"/>
              </w:rPr>
              <w:t>Guía para la clasificación, registro y estadística de accidentes del trabajo y enfermedades profesionales.</w:t>
            </w:r>
          </w:p>
        </w:tc>
      </w:tr>
      <w:tr w:rsidR="0092385D" w:rsidTr="00504AFA">
        <w:tc>
          <w:tcPr>
            <w:tcW w:w="4199" w:type="dxa"/>
          </w:tcPr>
          <w:p w:rsidR="0092385D" w:rsidRDefault="001A1AFA" w:rsidP="00C9294C">
            <w:pPr>
              <w:spacing w:after="0" w:line="240" w:lineRule="auto"/>
              <w:rPr>
                <w:rFonts w:ascii="Arial" w:hAnsi="Arial" w:cs="Arial"/>
                <w:sz w:val="20"/>
                <w:szCs w:val="20"/>
              </w:rPr>
            </w:pPr>
            <w:r>
              <w:rPr>
                <w:rFonts w:ascii="Arial" w:hAnsi="Arial" w:cs="Arial"/>
                <w:sz w:val="24"/>
                <w:szCs w:val="24"/>
                <w:lang w:val="es-CO" w:eastAsia="es-CO"/>
              </w:rPr>
              <w:t>ISO NTC  90001-2008</w:t>
            </w:r>
          </w:p>
        </w:tc>
        <w:tc>
          <w:tcPr>
            <w:tcW w:w="4269" w:type="dxa"/>
          </w:tcPr>
          <w:p w:rsidR="001A1AFA" w:rsidRPr="000C7B6F" w:rsidRDefault="000C7B6F" w:rsidP="001A1AFA">
            <w:pPr>
              <w:spacing w:after="0" w:line="240" w:lineRule="auto"/>
              <w:rPr>
                <w:rFonts w:ascii="Arial" w:hAnsi="Arial" w:cs="Arial"/>
                <w:sz w:val="24"/>
                <w:szCs w:val="24"/>
              </w:rPr>
            </w:pPr>
            <w:r w:rsidRPr="000C7B6F">
              <w:rPr>
                <w:rFonts w:ascii="Arial" w:hAnsi="Arial" w:cs="Arial"/>
                <w:sz w:val="24"/>
                <w:szCs w:val="24"/>
              </w:rPr>
              <w:t>Se centra en la eficacia del sistema de gestión de la calidad para satisfacer los requisitos del cliente</w:t>
            </w:r>
            <w:r w:rsidR="001A1AFA" w:rsidRPr="000C7B6F">
              <w:rPr>
                <w:rFonts w:ascii="Arial" w:hAnsi="Arial" w:cs="Arial"/>
                <w:sz w:val="24"/>
                <w:szCs w:val="24"/>
              </w:rPr>
              <w:t>.</w:t>
            </w:r>
          </w:p>
          <w:p w:rsidR="0092385D" w:rsidRPr="000C7B6F" w:rsidRDefault="0092385D" w:rsidP="0035563F">
            <w:pPr>
              <w:spacing w:after="0" w:line="240" w:lineRule="auto"/>
              <w:rPr>
                <w:rFonts w:ascii="Arial" w:hAnsi="Arial" w:cs="Arial"/>
                <w:sz w:val="24"/>
                <w:szCs w:val="24"/>
              </w:rPr>
            </w:pPr>
          </w:p>
        </w:tc>
      </w:tr>
      <w:tr w:rsidR="0092385D" w:rsidTr="00504AFA">
        <w:tc>
          <w:tcPr>
            <w:tcW w:w="4199" w:type="dxa"/>
          </w:tcPr>
          <w:p w:rsidR="0092385D" w:rsidRDefault="00C9294C" w:rsidP="0035563F">
            <w:pPr>
              <w:spacing w:after="0" w:line="240" w:lineRule="auto"/>
              <w:rPr>
                <w:rFonts w:ascii="Arial" w:hAnsi="Arial" w:cs="Arial"/>
                <w:sz w:val="20"/>
                <w:szCs w:val="20"/>
              </w:rPr>
            </w:pPr>
            <w:r>
              <w:rPr>
                <w:rFonts w:ascii="Arial" w:hAnsi="Arial" w:cs="Arial"/>
                <w:sz w:val="24"/>
                <w:szCs w:val="24"/>
                <w:lang w:val="es-CO" w:eastAsia="es-CO"/>
              </w:rPr>
              <w:t xml:space="preserve">ISO NTC  </w:t>
            </w:r>
            <w:r w:rsidR="001A1AFA">
              <w:rPr>
                <w:rFonts w:ascii="Arial" w:hAnsi="Arial" w:cs="Arial"/>
                <w:sz w:val="24"/>
                <w:szCs w:val="24"/>
                <w:lang w:val="es-CO" w:eastAsia="es-CO"/>
              </w:rPr>
              <w:t>14001-2004</w:t>
            </w:r>
          </w:p>
        </w:tc>
        <w:tc>
          <w:tcPr>
            <w:tcW w:w="4269" w:type="dxa"/>
          </w:tcPr>
          <w:p w:rsidR="0092385D" w:rsidRPr="000C7B6F" w:rsidRDefault="000C7B6F" w:rsidP="0035563F">
            <w:pPr>
              <w:spacing w:after="0" w:line="240" w:lineRule="auto"/>
              <w:rPr>
                <w:rFonts w:ascii="Arial" w:hAnsi="Arial" w:cs="Arial"/>
                <w:sz w:val="24"/>
                <w:szCs w:val="24"/>
              </w:rPr>
            </w:pPr>
            <w:r w:rsidRPr="000C7B6F">
              <w:rPr>
                <w:rFonts w:ascii="Arial" w:hAnsi="Arial" w:cs="Arial"/>
                <w:sz w:val="24"/>
                <w:szCs w:val="24"/>
              </w:rPr>
              <w:t>Requisitos para un sistema de gestión ambiental.</w:t>
            </w:r>
          </w:p>
        </w:tc>
      </w:tr>
      <w:tr w:rsidR="0092385D" w:rsidTr="00504AFA">
        <w:tc>
          <w:tcPr>
            <w:tcW w:w="4199" w:type="dxa"/>
          </w:tcPr>
          <w:p w:rsidR="0092385D" w:rsidRDefault="00C9294C" w:rsidP="0035563F">
            <w:pPr>
              <w:spacing w:after="0" w:line="240" w:lineRule="auto"/>
              <w:rPr>
                <w:rFonts w:ascii="Arial" w:hAnsi="Arial" w:cs="Arial"/>
                <w:sz w:val="20"/>
                <w:szCs w:val="20"/>
              </w:rPr>
            </w:pPr>
            <w:r w:rsidRPr="001C5CE6">
              <w:rPr>
                <w:rFonts w:ascii="Arial" w:hAnsi="Arial" w:cs="Arial"/>
                <w:sz w:val="24"/>
                <w:szCs w:val="24"/>
                <w:lang w:val="es-CO" w:eastAsia="es-CO"/>
              </w:rPr>
              <w:t>OSHA 18001-2007</w:t>
            </w:r>
          </w:p>
        </w:tc>
        <w:tc>
          <w:tcPr>
            <w:tcW w:w="4269" w:type="dxa"/>
          </w:tcPr>
          <w:p w:rsidR="0092385D" w:rsidRPr="000C7B6F" w:rsidRDefault="000C7B6F" w:rsidP="0035563F">
            <w:pPr>
              <w:spacing w:after="0" w:line="240" w:lineRule="auto"/>
              <w:rPr>
                <w:rFonts w:ascii="Arial" w:hAnsi="Arial" w:cs="Arial"/>
                <w:sz w:val="24"/>
                <w:szCs w:val="24"/>
              </w:rPr>
            </w:pPr>
            <w:r w:rsidRPr="000C7B6F">
              <w:rPr>
                <w:rFonts w:ascii="Arial" w:hAnsi="Arial" w:cs="Arial"/>
                <w:sz w:val="24"/>
                <w:szCs w:val="24"/>
                <w:lang w:eastAsia="es-CO"/>
              </w:rPr>
              <w:t>Requisitos para sistemas de gestión  de seguridad y salud ocupacional-control de riesgos.</w:t>
            </w:r>
          </w:p>
        </w:tc>
      </w:tr>
    </w:tbl>
    <w:p w:rsidR="00DB68E1" w:rsidRPr="00DB68E1" w:rsidRDefault="00DB68E1" w:rsidP="00C9294C">
      <w:pPr>
        <w:spacing w:after="0" w:line="240" w:lineRule="auto"/>
        <w:ind w:left="360"/>
        <w:rPr>
          <w:rFonts w:ascii="Arial" w:hAnsi="Arial" w:cs="Arial"/>
          <w:sz w:val="24"/>
          <w:szCs w:val="24"/>
        </w:rPr>
      </w:pPr>
      <w:bookmarkStart w:id="0" w:name="_GoBack"/>
      <w:bookmarkEnd w:id="0"/>
    </w:p>
    <w:p w:rsidR="00DB68E1" w:rsidRPr="001C5CE6" w:rsidRDefault="00DB68E1" w:rsidP="00A269DD">
      <w:pPr>
        <w:spacing w:after="0" w:line="240" w:lineRule="auto"/>
        <w:ind w:left="360"/>
        <w:rPr>
          <w:rFonts w:ascii="Arial" w:hAnsi="Arial" w:cs="Arial"/>
          <w:sz w:val="24"/>
          <w:szCs w:val="24"/>
        </w:rPr>
      </w:pPr>
    </w:p>
    <w:p w:rsidR="00F768A6" w:rsidRDefault="00F768A6"/>
    <w:sectPr w:rsidR="00F768A6">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4F0" w:rsidRDefault="00E324F0" w:rsidP="0035563F">
      <w:pPr>
        <w:spacing w:after="0" w:line="240" w:lineRule="auto"/>
      </w:pPr>
      <w:r>
        <w:separator/>
      </w:r>
    </w:p>
  </w:endnote>
  <w:endnote w:type="continuationSeparator" w:id="0">
    <w:p w:rsidR="00E324F0" w:rsidRDefault="00E324F0" w:rsidP="00355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4F0" w:rsidRDefault="00E324F0" w:rsidP="0035563F">
      <w:pPr>
        <w:spacing w:after="0" w:line="240" w:lineRule="auto"/>
      </w:pPr>
      <w:r>
        <w:separator/>
      </w:r>
    </w:p>
  </w:footnote>
  <w:footnote w:type="continuationSeparator" w:id="0">
    <w:p w:rsidR="00E324F0" w:rsidRDefault="00E324F0" w:rsidP="00355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4"/>
      <w:gridCol w:w="4345"/>
      <w:gridCol w:w="1978"/>
    </w:tblGrid>
    <w:tr w:rsidR="001C5CE6" w:rsidRPr="00B5609B" w:rsidTr="006F3E99">
      <w:tc>
        <w:tcPr>
          <w:tcW w:w="3884" w:type="dxa"/>
          <w:vMerge w:val="restart"/>
        </w:tcPr>
        <w:p w:rsidR="001C5CE6" w:rsidRPr="006B6B54" w:rsidRDefault="00C9294C" w:rsidP="001C5CE6">
          <w:pPr>
            <w:pStyle w:val="Encabezado"/>
            <w:rPr>
              <w:rFonts w:ascii="Tahoma" w:hAnsi="Tahoma" w:cs="Tahoma"/>
            </w:rPr>
          </w:pPr>
          <w:r>
            <w:rPr>
              <w:rFonts w:ascii="Tahoma" w:hAnsi="Tahoma" w:cs="Tahoma"/>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96520</wp:posOffset>
                    </wp:positionH>
                    <wp:positionV relativeFrom="paragraph">
                      <wp:posOffset>1534794</wp:posOffset>
                    </wp:positionV>
                    <wp:extent cx="1924050" cy="257175"/>
                    <wp:effectExtent l="0" t="0" r="19050" b="28575"/>
                    <wp:wrapNone/>
                    <wp:docPr id="1" name="Cuadro de texto 1"/>
                    <wp:cNvGraphicFramePr/>
                    <a:graphic xmlns:a="http://schemas.openxmlformats.org/drawingml/2006/main">
                      <a:graphicData uri="http://schemas.microsoft.com/office/word/2010/wordprocessingShape">
                        <wps:wsp>
                          <wps:cNvSpPr txBox="1"/>
                          <wps:spPr>
                            <a:xfrm>
                              <a:off x="0" y="0"/>
                              <a:ext cx="19240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9294C" w:rsidRPr="000C3D2F" w:rsidRDefault="00C9294C" w:rsidP="00C9294C">
                                <w:pPr>
                                  <w:jc w:val="center"/>
                                  <w:rPr>
                                    <w:rFonts w:ascii="Agency FB" w:hAnsi="Agency FB"/>
                                    <w:b/>
                                    <w:sz w:val="20"/>
                                    <w:szCs w:val="20"/>
                                  </w:rPr>
                                </w:pPr>
                                <w:r w:rsidRPr="000C3D2F">
                                  <w:rPr>
                                    <w:rFonts w:ascii="Agency FB" w:hAnsi="Agency FB"/>
                                    <w:b/>
                                    <w:sz w:val="20"/>
                                    <w:szCs w:val="20"/>
                                  </w:rPr>
                                  <w:t>A &amp; S.SOLUCIONES EN TALENTO HUMANO</w:t>
                                </w:r>
                              </w:p>
                              <w:p w:rsidR="00C9294C" w:rsidRDefault="00C929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7.6pt;margin-top:120.85pt;width:151.5pt;height:2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" fillcolor="white [3201]" strokeweight=".5pt">
                    <v:textbox>
                      <w:txbxContent>
                        <w:p w:rsidR="00C9294C" w:rsidRPr="000C3D2F" w:rsidRDefault="00C9294C" w:rsidP="00C9294C">
                          <w:pPr>
                            <w:jc w:val="center"/>
                            <w:rPr>
                              <w:rFonts w:ascii="Agency FB" w:hAnsi="Agency FB"/>
                              <w:b/>
                              <w:sz w:val="20"/>
                              <w:szCs w:val="20"/>
                            </w:rPr>
                          </w:pPr>
                          <w:r w:rsidRPr="000C3D2F">
                            <w:rPr>
                              <w:rFonts w:ascii="Agency FB" w:hAnsi="Agency FB"/>
                              <w:b/>
                              <w:sz w:val="20"/>
                              <w:szCs w:val="20"/>
                            </w:rPr>
                            <w:t>A &amp; S.SOLUCIONES EN TALENTO HUMANO</w:t>
                          </w:r>
                        </w:p>
                        <w:p w:rsidR="00C9294C" w:rsidRDefault="00C9294C"/>
                      </w:txbxContent>
                    </v:textbox>
                  </v:shape>
                </w:pict>
              </mc:Fallback>
            </mc:AlternateContent>
          </w:r>
          <w:r w:rsidR="001C5CE6">
            <w:rPr>
              <w:rFonts w:ascii="Tahoma" w:hAnsi="Tahoma" w:cs="Tahoma"/>
            </w:rPr>
            <w:t xml:space="preserve">         </w:t>
          </w:r>
          <w:r>
            <w:rPr>
              <w:noProof/>
              <w:lang w:val="es-CO" w:eastAsia="es-CO"/>
            </w:rPr>
            <w:drawing>
              <wp:inline distT="0" distB="0" distL="0" distR="0" wp14:anchorId="13ECB8B6" wp14:editId="7B76E6A5">
                <wp:extent cx="2247900" cy="1663090"/>
                <wp:effectExtent l="0" t="0" r="0" b="0"/>
                <wp:docPr id="3" name="Imagen 3" descr="C:\Users\Aleida Salazar\Desktop\muñec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ida Salazar\Desktop\muñeco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572" cy="1664327"/>
                        </a:xfrm>
                        <a:prstGeom prst="rect">
                          <a:avLst/>
                        </a:prstGeom>
                        <a:noFill/>
                        <a:ln>
                          <a:noFill/>
                        </a:ln>
                      </pic:spPr>
                    </pic:pic>
                  </a:graphicData>
                </a:graphic>
              </wp:inline>
            </w:drawing>
          </w:r>
        </w:p>
      </w:tc>
      <w:tc>
        <w:tcPr>
          <w:tcW w:w="4345" w:type="dxa"/>
          <w:vMerge w:val="restart"/>
        </w:tcPr>
        <w:p w:rsidR="001C5CE6" w:rsidRDefault="001C5CE6" w:rsidP="001C5CE6">
          <w:pPr>
            <w:pStyle w:val="Encabezado"/>
            <w:jc w:val="center"/>
            <w:rPr>
              <w:rFonts w:ascii="Tahoma" w:hAnsi="Tahoma" w:cs="Tahoma"/>
              <w:b/>
              <w:sz w:val="24"/>
              <w:szCs w:val="24"/>
            </w:rPr>
          </w:pPr>
        </w:p>
        <w:p w:rsidR="001C5CE6" w:rsidRDefault="001C5CE6" w:rsidP="001C5CE6">
          <w:pPr>
            <w:pStyle w:val="Encabezado"/>
            <w:jc w:val="center"/>
            <w:rPr>
              <w:rFonts w:ascii="Tahoma" w:hAnsi="Tahoma" w:cs="Tahoma"/>
              <w:b/>
              <w:sz w:val="24"/>
              <w:szCs w:val="24"/>
            </w:rPr>
          </w:pPr>
        </w:p>
        <w:p w:rsidR="001C5CE6" w:rsidRPr="006B6B54" w:rsidRDefault="001C5CE6" w:rsidP="001C5CE6">
          <w:pPr>
            <w:pStyle w:val="Encabezado"/>
            <w:jc w:val="center"/>
            <w:rPr>
              <w:rFonts w:ascii="Tahoma" w:hAnsi="Tahoma" w:cs="Tahoma"/>
              <w:b/>
              <w:sz w:val="24"/>
              <w:szCs w:val="24"/>
            </w:rPr>
          </w:pPr>
          <w:r>
            <w:rPr>
              <w:rFonts w:ascii="Tahoma" w:hAnsi="Tahoma" w:cs="Tahoma"/>
              <w:b/>
              <w:sz w:val="24"/>
              <w:szCs w:val="24"/>
            </w:rPr>
            <w:t>NORMATIVIDAD</w:t>
          </w:r>
        </w:p>
        <w:p w:rsidR="001C5CE6" w:rsidRPr="006B6B54" w:rsidRDefault="001C5CE6" w:rsidP="001C5CE6">
          <w:pPr>
            <w:pStyle w:val="Encabezado"/>
            <w:jc w:val="center"/>
            <w:rPr>
              <w:rFonts w:ascii="Tahoma" w:hAnsi="Tahoma" w:cs="Tahoma"/>
            </w:rPr>
          </w:pPr>
          <w:r w:rsidRPr="006B6B54">
            <w:rPr>
              <w:rFonts w:ascii="Tahoma" w:hAnsi="Tahoma" w:cs="Tahoma"/>
              <w:b/>
              <w:sz w:val="24"/>
              <w:szCs w:val="24"/>
            </w:rPr>
            <w:t>SISTEMA DE GESTIÓN DE LA SEGURIDAD Y SALUD EN EL TRABAJO</w:t>
          </w:r>
        </w:p>
      </w:tc>
      <w:tc>
        <w:tcPr>
          <w:tcW w:w="1978" w:type="dxa"/>
        </w:tcPr>
        <w:p w:rsidR="001C5CE6" w:rsidRPr="006B6B54" w:rsidRDefault="001C5CE6" w:rsidP="001C5CE6">
          <w:pPr>
            <w:pStyle w:val="Encabezado"/>
            <w:rPr>
              <w:rFonts w:ascii="Tahoma" w:hAnsi="Tahoma" w:cs="Tahoma"/>
            </w:rPr>
          </w:pPr>
          <w:r w:rsidRPr="006B6B54">
            <w:rPr>
              <w:rFonts w:ascii="Tahoma" w:hAnsi="Tahoma" w:cs="Tahoma"/>
            </w:rPr>
            <w:t>Código:</w:t>
          </w:r>
          <w:r>
            <w:rPr>
              <w:rFonts w:ascii="Tahoma" w:hAnsi="Tahoma" w:cs="Tahoma"/>
            </w:rPr>
            <w:t>001</w:t>
          </w:r>
        </w:p>
      </w:tc>
    </w:tr>
    <w:tr w:rsidR="001C5CE6" w:rsidRPr="00B5609B" w:rsidTr="006F3E99">
      <w:tc>
        <w:tcPr>
          <w:tcW w:w="3884" w:type="dxa"/>
          <w:vMerge/>
        </w:tcPr>
        <w:p w:rsidR="001C5CE6" w:rsidRPr="006B6B54" w:rsidRDefault="001C5CE6" w:rsidP="001C5CE6">
          <w:pPr>
            <w:pStyle w:val="Encabezado"/>
            <w:rPr>
              <w:rFonts w:ascii="Tahoma" w:hAnsi="Tahoma" w:cs="Tahoma"/>
            </w:rPr>
          </w:pPr>
        </w:p>
      </w:tc>
      <w:tc>
        <w:tcPr>
          <w:tcW w:w="4345" w:type="dxa"/>
          <w:vMerge/>
        </w:tcPr>
        <w:p w:rsidR="001C5CE6" w:rsidRPr="006B6B54" w:rsidRDefault="001C5CE6" w:rsidP="001C5CE6">
          <w:pPr>
            <w:pStyle w:val="Encabezado"/>
            <w:rPr>
              <w:rFonts w:ascii="Tahoma" w:hAnsi="Tahoma" w:cs="Tahoma"/>
            </w:rPr>
          </w:pPr>
        </w:p>
      </w:tc>
      <w:tc>
        <w:tcPr>
          <w:tcW w:w="1978" w:type="dxa"/>
        </w:tcPr>
        <w:p w:rsidR="001C5CE6" w:rsidRPr="006B6B54" w:rsidRDefault="001C5CE6" w:rsidP="001C5CE6">
          <w:pPr>
            <w:pStyle w:val="Encabezado"/>
            <w:rPr>
              <w:rFonts w:ascii="Tahoma" w:hAnsi="Tahoma" w:cs="Tahoma"/>
            </w:rPr>
          </w:pPr>
          <w:r w:rsidRPr="006B6B54">
            <w:rPr>
              <w:rFonts w:ascii="Tahoma" w:hAnsi="Tahoma" w:cs="Tahoma"/>
            </w:rPr>
            <w:t>Versión:</w:t>
          </w:r>
          <w:r>
            <w:rPr>
              <w:rFonts w:ascii="Tahoma" w:hAnsi="Tahoma" w:cs="Tahoma"/>
            </w:rPr>
            <w:t>001</w:t>
          </w:r>
        </w:p>
      </w:tc>
    </w:tr>
    <w:tr w:rsidR="001C5CE6" w:rsidRPr="00B5609B" w:rsidTr="006F3E99">
      <w:trPr>
        <w:trHeight w:val="1849"/>
      </w:trPr>
      <w:tc>
        <w:tcPr>
          <w:tcW w:w="3884" w:type="dxa"/>
          <w:vMerge/>
        </w:tcPr>
        <w:p w:rsidR="001C5CE6" w:rsidRPr="006B6B54" w:rsidRDefault="001C5CE6" w:rsidP="001C5CE6">
          <w:pPr>
            <w:pStyle w:val="Encabezado"/>
            <w:rPr>
              <w:rFonts w:ascii="Tahoma" w:hAnsi="Tahoma" w:cs="Tahoma"/>
            </w:rPr>
          </w:pPr>
        </w:p>
      </w:tc>
      <w:tc>
        <w:tcPr>
          <w:tcW w:w="4345" w:type="dxa"/>
          <w:vMerge/>
        </w:tcPr>
        <w:p w:rsidR="001C5CE6" w:rsidRPr="006B6B54" w:rsidRDefault="001C5CE6" w:rsidP="001C5CE6">
          <w:pPr>
            <w:pStyle w:val="Encabezado"/>
            <w:rPr>
              <w:rFonts w:ascii="Tahoma" w:hAnsi="Tahoma" w:cs="Tahoma"/>
            </w:rPr>
          </w:pPr>
        </w:p>
      </w:tc>
      <w:tc>
        <w:tcPr>
          <w:tcW w:w="1978" w:type="dxa"/>
        </w:tcPr>
        <w:p w:rsidR="001C5CE6" w:rsidRPr="006B6B54" w:rsidRDefault="001C5CE6" w:rsidP="001C5CE6">
          <w:pPr>
            <w:pStyle w:val="Encabezado"/>
            <w:rPr>
              <w:rFonts w:ascii="Tahoma" w:hAnsi="Tahoma" w:cs="Tahoma"/>
            </w:rPr>
          </w:pPr>
          <w:r w:rsidRPr="006B6B54">
            <w:rPr>
              <w:rFonts w:ascii="Tahoma" w:hAnsi="Tahoma" w:cs="Tahoma"/>
            </w:rPr>
            <w:t>Fecha:</w:t>
          </w:r>
          <w:r>
            <w:rPr>
              <w:rFonts w:ascii="Tahoma" w:hAnsi="Tahoma" w:cs="Tahoma"/>
            </w:rPr>
            <w:t xml:space="preserve"> 10-11-14</w:t>
          </w:r>
        </w:p>
      </w:tc>
    </w:tr>
  </w:tbl>
  <w:p w:rsidR="0035563F" w:rsidRPr="0035563F" w:rsidRDefault="0035563F" w:rsidP="003556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5A5ACD"/>
    <w:multiLevelType w:val="hybridMultilevel"/>
    <w:tmpl w:val="411E8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63F"/>
    <w:rsid w:val="0004680D"/>
    <w:rsid w:val="000C7B6F"/>
    <w:rsid w:val="000E1D66"/>
    <w:rsid w:val="001A1AFA"/>
    <w:rsid w:val="001C5CE6"/>
    <w:rsid w:val="002900F4"/>
    <w:rsid w:val="0030221B"/>
    <w:rsid w:val="0035563F"/>
    <w:rsid w:val="00463D05"/>
    <w:rsid w:val="00504AFA"/>
    <w:rsid w:val="00512FB3"/>
    <w:rsid w:val="0053794E"/>
    <w:rsid w:val="00556347"/>
    <w:rsid w:val="005A047C"/>
    <w:rsid w:val="0074721E"/>
    <w:rsid w:val="007B2740"/>
    <w:rsid w:val="00815ECA"/>
    <w:rsid w:val="0092385D"/>
    <w:rsid w:val="009558CF"/>
    <w:rsid w:val="00965A7D"/>
    <w:rsid w:val="00A269DD"/>
    <w:rsid w:val="00C9294C"/>
    <w:rsid w:val="00DB68E1"/>
    <w:rsid w:val="00E324F0"/>
    <w:rsid w:val="00E552C6"/>
    <w:rsid w:val="00F768A6"/>
    <w:rsid w:val="00FF61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8EB0698-1B60-4D8D-AC6F-D39759643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63F"/>
    <w:pPr>
      <w:spacing w:after="200" w:line="276" w:lineRule="auto"/>
    </w:pPr>
    <w:rPr>
      <w:rFonts w:ascii="Calibri" w:eastAsia="Calibri" w:hAnsi="Calibri" w:cs="Times New Roman"/>
      <w:lang w:val="es-ES"/>
    </w:rPr>
  </w:style>
  <w:style w:type="paragraph" w:styleId="Ttulo1">
    <w:name w:val="heading 1"/>
    <w:basedOn w:val="Normal"/>
    <w:link w:val="Ttulo1Car"/>
    <w:uiPriority w:val="9"/>
    <w:qFormat/>
    <w:rsid w:val="005A047C"/>
    <w:pPr>
      <w:spacing w:before="100" w:beforeAutospacing="1" w:after="100" w:afterAutospacing="1" w:line="240" w:lineRule="auto"/>
      <w:outlineLvl w:val="0"/>
    </w:pPr>
    <w:rPr>
      <w:rFonts w:ascii="Times New Roman" w:eastAsia="Times New Roman" w:hAnsi="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5563F"/>
    <w:rPr>
      <w:color w:val="0000FF"/>
      <w:u w:val="single"/>
    </w:rPr>
  </w:style>
  <w:style w:type="paragraph" w:styleId="Encabezado">
    <w:name w:val="header"/>
    <w:basedOn w:val="Normal"/>
    <w:link w:val="EncabezadoCar"/>
    <w:unhideWhenUsed/>
    <w:rsid w:val="0035563F"/>
    <w:pPr>
      <w:tabs>
        <w:tab w:val="center" w:pos="4419"/>
        <w:tab w:val="right" w:pos="8838"/>
      </w:tabs>
      <w:spacing w:after="0" w:line="240" w:lineRule="auto"/>
    </w:pPr>
  </w:style>
  <w:style w:type="character" w:customStyle="1" w:styleId="EncabezadoCar">
    <w:name w:val="Encabezado Car"/>
    <w:basedOn w:val="Fuentedeprrafopredeter"/>
    <w:link w:val="Encabezado"/>
    <w:rsid w:val="0035563F"/>
    <w:rPr>
      <w:rFonts w:ascii="Calibri" w:eastAsia="Calibri" w:hAnsi="Calibri" w:cs="Times New Roman"/>
      <w:lang w:val="es-ES"/>
    </w:rPr>
  </w:style>
  <w:style w:type="paragraph" w:styleId="Piedepgina">
    <w:name w:val="footer"/>
    <w:basedOn w:val="Normal"/>
    <w:link w:val="PiedepginaCar"/>
    <w:uiPriority w:val="99"/>
    <w:unhideWhenUsed/>
    <w:rsid w:val="003556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563F"/>
    <w:rPr>
      <w:rFonts w:ascii="Calibri" w:eastAsia="Calibri" w:hAnsi="Calibri" w:cs="Times New Roman"/>
      <w:lang w:val="es-ES"/>
    </w:rPr>
  </w:style>
  <w:style w:type="table" w:styleId="Tablaconcuadrcula">
    <w:name w:val="Table Grid"/>
    <w:basedOn w:val="Tablanormal"/>
    <w:uiPriority w:val="39"/>
    <w:rsid w:val="003556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965A7D"/>
    <w:rPr>
      <w:i/>
      <w:iCs/>
    </w:rPr>
  </w:style>
  <w:style w:type="character" w:customStyle="1" w:styleId="apple-converted-space">
    <w:name w:val="apple-converted-space"/>
    <w:basedOn w:val="Fuentedeprrafopredeter"/>
    <w:rsid w:val="00556347"/>
  </w:style>
  <w:style w:type="character" w:customStyle="1" w:styleId="Ttulo1Car">
    <w:name w:val="Título 1 Car"/>
    <w:basedOn w:val="Fuentedeprrafopredeter"/>
    <w:link w:val="Ttulo1"/>
    <w:uiPriority w:val="9"/>
    <w:rsid w:val="005A047C"/>
    <w:rPr>
      <w:rFonts w:ascii="Times New Roman" w:eastAsia="Times New Roman" w:hAnsi="Times New Roman" w:cs="Times New Roman"/>
      <w:b/>
      <w:bCs/>
      <w:kern w:val="36"/>
      <w:sz w:val="48"/>
      <w:szCs w:val="48"/>
      <w:lang w:eastAsia="es-CO"/>
    </w:rPr>
  </w:style>
  <w:style w:type="character" w:customStyle="1" w:styleId="fn">
    <w:name w:val="fn"/>
    <w:basedOn w:val="Fuentedeprrafopredeter"/>
    <w:rsid w:val="005A0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76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Dignidad_humana" TargetMode="External"/><Relationship Id="rId3" Type="http://schemas.openxmlformats.org/officeDocument/2006/relationships/settings" Target="settings.xml"/><Relationship Id="rId7" Type="http://schemas.openxmlformats.org/officeDocument/2006/relationships/hyperlink" Target="http://es.wikipedia.org/wiki/Colomb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571</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gil</dc:creator>
  <cp:keywords/>
  <dc:description/>
  <cp:lastModifiedBy>isabel gil</cp:lastModifiedBy>
  <cp:revision>11</cp:revision>
  <dcterms:created xsi:type="dcterms:W3CDTF">2014-11-11T23:43:00Z</dcterms:created>
  <dcterms:modified xsi:type="dcterms:W3CDTF">2014-12-03T06:42:00Z</dcterms:modified>
</cp:coreProperties>
</file>